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17" w:rsidRPr="006D3817" w:rsidRDefault="006D3817" w:rsidP="006D3817">
      <w:pPr>
        <w:spacing w:after="0" w:line="276" w:lineRule="auto"/>
        <w:outlineLvl w:val="1"/>
        <w:rPr>
          <w:rFonts w:ascii="Calibri" w:eastAsia="Times New Roman" w:hAnsi="Calibri" w:cs="Calibri"/>
          <w:b/>
          <w:bCs/>
          <w:i/>
          <w:sz w:val="28"/>
          <w:szCs w:val="28"/>
          <w:u w:val="double"/>
          <w:lang w:val="x-none" w:eastAsia="x-none" w:bidi="en-US"/>
        </w:rPr>
      </w:pPr>
      <w:bookmarkStart w:id="0" w:name="_Toc450907513"/>
      <w:bookmarkStart w:id="1" w:name="_GoBack"/>
      <w:bookmarkEnd w:id="1"/>
      <w:r w:rsidRPr="006D3817">
        <w:rPr>
          <w:rFonts w:ascii="Calibri" w:eastAsia="Times New Roman" w:hAnsi="Calibri" w:cs="Calibri"/>
          <w:b/>
          <w:bCs/>
          <w:i/>
          <w:sz w:val="28"/>
          <w:szCs w:val="28"/>
          <w:u w:val="double"/>
          <w:lang w:val="x-none" w:eastAsia="x-none" w:bidi="en-US"/>
        </w:rPr>
        <w:t>Legal Advertisement</w:t>
      </w:r>
      <w:bookmarkEnd w:id="0"/>
    </w:p>
    <w:p w:rsidR="006D3817" w:rsidRPr="006D3817" w:rsidRDefault="006D3817" w:rsidP="006D3817">
      <w:pPr>
        <w:widowControl w:val="0"/>
        <w:suppressAutoHyphens/>
        <w:spacing w:after="0" w:line="240" w:lineRule="auto"/>
        <w:rPr>
          <w:rFonts w:ascii="Calibri" w:eastAsia="Times New Roman" w:hAnsi="Calibri" w:cs="Arial"/>
          <w:sz w:val="24"/>
          <w:szCs w:val="24"/>
          <w:lang w:eastAsia="ar-SA"/>
        </w:rPr>
      </w:pPr>
    </w:p>
    <w:p w:rsidR="006D3817" w:rsidRPr="006D3817" w:rsidRDefault="006D3817" w:rsidP="006D3817">
      <w:pPr>
        <w:keepNext/>
        <w:widowControl w:val="0"/>
        <w:suppressAutoHyphens/>
        <w:spacing w:after="0" w:line="276" w:lineRule="auto"/>
        <w:jc w:val="both"/>
        <w:outlineLvl w:val="2"/>
        <w:rPr>
          <w:rFonts w:ascii="Calibri" w:eastAsia="Times New Roman" w:hAnsi="Calibri" w:cs="Times New Roman"/>
          <w:bCs/>
          <w:sz w:val="24"/>
          <w:szCs w:val="24"/>
          <w:lang w:val="x-none" w:eastAsia="ar-SA"/>
        </w:rPr>
      </w:pPr>
      <w:r w:rsidRPr="006D3817">
        <w:rPr>
          <w:rFonts w:ascii="Calibri" w:eastAsia="Times New Roman" w:hAnsi="Calibri" w:cs="Times New Roman"/>
          <w:bCs/>
          <w:sz w:val="24"/>
          <w:szCs w:val="24"/>
          <w:lang w:val="x-none" w:eastAsia="ar-SA"/>
        </w:rPr>
        <w:t xml:space="preserve">Sealed bids will be received by the </w:t>
      </w:r>
      <w:r w:rsidRPr="006D3817">
        <w:rPr>
          <w:rFonts w:ascii="Calibri" w:eastAsia="Times New Roman" w:hAnsi="Calibri" w:cs="Times New Roman"/>
          <w:bCs/>
          <w:sz w:val="24"/>
          <w:szCs w:val="24"/>
          <w:lang w:val="x-none" w:eastAsia="ar-SA"/>
        </w:rPr>
        <w:fldChar w:fldCharType="begin"/>
      </w:r>
      <w:r w:rsidRPr="006D3817">
        <w:rPr>
          <w:rFonts w:ascii="Calibri" w:eastAsia="Times New Roman" w:hAnsi="Calibri" w:cs="Times New Roman"/>
          <w:bCs/>
          <w:sz w:val="24"/>
          <w:szCs w:val="24"/>
          <w:lang w:val="x-none" w:eastAsia="ar-SA"/>
        </w:rPr>
        <w:instrText xml:space="preserve"> TITLE   \* MERGEFORMAT </w:instrText>
      </w:r>
      <w:r w:rsidRPr="006D3817">
        <w:rPr>
          <w:rFonts w:ascii="Calibri" w:eastAsia="Times New Roman" w:hAnsi="Calibri" w:cs="Times New Roman"/>
          <w:bCs/>
          <w:sz w:val="24"/>
          <w:szCs w:val="24"/>
          <w:lang w:val="x-none" w:eastAsia="ar-SA"/>
        </w:rPr>
        <w:fldChar w:fldCharType="separate"/>
      </w:r>
      <w:r w:rsidRPr="006D3817">
        <w:rPr>
          <w:rFonts w:ascii="Calibri" w:eastAsia="Times New Roman" w:hAnsi="Calibri" w:cs="Times New Roman"/>
          <w:bCs/>
          <w:sz w:val="24"/>
          <w:szCs w:val="24"/>
          <w:lang w:val="x-none" w:eastAsia="ar-SA"/>
        </w:rPr>
        <w:t>Village of Cardington and Morrow County Board of Commissioners</w:t>
      </w:r>
      <w:r w:rsidRPr="006D3817">
        <w:rPr>
          <w:rFonts w:ascii="Calibri" w:eastAsia="Times New Roman" w:hAnsi="Calibri" w:cs="Times New Roman"/>
          <w:bCs/>
          <w:sz w:val="24"/>
          <w:szCs w:val="24"/>
          <w:lang w:val="x-none" w:eastAsia="ar-SA"/>
        </w:rPr>
        <w:fldChar w:fldCharType="end"/>
      </w:r>
      <w:r w:rsidRPr="006D3817">
        <w:rPr>
          <w:rFonts w:ascii="Calibri" w:eastAsia="Times New Roman" w:hAnsi="Calibri" w:cs="Times New Roman"/>
          <w:bCs/>
          <w:sz w:val="24"/>
          <w:szCs w:val="24"/>
          <w:lang w:val="x-none" w:eastAsia="ar-SA"/>
        </w:rPr>
        <w:t xml:space="preserve"> (“</w:t>
      </w:r>
      <w:r w:rsidRPr="006D3817">
        <w:rPr>
          <w:rFonts w:ascii="Calibri" w:eastAsia="Times New Roman" w:hAnsi="Calibri" w:cs="Times New Roman"/>
          <w:bCs/>
          <w:i/>
          <w:sz w:val="24"/>
          <w:szCs w:val="24"/>
          <w:lang w:val="x-none" w:eastAsia="ar-SA"/>
        </w:rPr>
        <w:t>Owner</w:t>
      </w:r>
      <w:r w:rsidRPr="006D3817">
        <w:rPr>
          <w:rFonts w:ascii="Calibri" w:eastAsia="Times New Roman" w:hAnsi="Calibri" w:cs="Times New Roman"/>
          <w:bCs/>
          <w:sz w:val="24"/>
          <w:szCs w:val="24"/>
          <w:lang w:val="x-none" w:eastAsia="ar-SA"/>
        </w:rPr>
        <w:t xml:space="preserve">”), at the office </w:t>
      </w:r>
      <w:r w:rsidRPr="006D3817">
        <w:rPr>
          <w:rFonts w:ascii="Calibri" w:eastAsia="Times New Roman" w:hAnsi="Calibri" w:cs="Times New Roman"/>
          <w:bCs/>
          <w:sz w:val="24"/>
          <w:szCs w:val="24"/>
          <w:lang w:eastAsia="ar-SA"/>
        </w:rPr>
        <w:t xml:space="preserve">of the Morrow County Commissioners at 80 N. Walnut St. Suite A Mt. Gilead, Ohio 43338 </w:t>
      </w:r>
      <w:r w:rsidRPr="006D3817">
        <w:rPr>
          <w:rFonts w:ascii="Calibri" w:eastAsia="Times New Roman" w:hAnsi="Calibri" w:cs="Times New Roman"/>
          <w:bCs/>
          <w:sz w:val="24"/>
          <w:szCs w:val="24"/>
          <w:lang w:val="x-none" w:eastAsia="ar-SA"/>
        </w:rPr>
        <w:t xml:space="preserve">on the </w:t>
      </w:r>
      <w:r w:rsidRPr="006D3817">
        <w:rPr>
          <w:rFonts w:ascii="Calibri" w:eastAsia="Times New Roman" w:hAnsi="Calibri" w:cs="Times New Roman"/>
          <w:bCs/>
          <w:sz w:val="24"/>
          <w:szCs w:val="24"/>
          <w:lang w:eastAsia="ar-SA"/>
        </w:rPr>
        <w:t>8</w:t>
      </w:r>
      <w:proofErr w:type="spellStart"/>
      <w:r w:rsidRPr="006D3817">
        <w:rPr>
          <w:rFonts w:ascii="Calibri" w:eastAsia="Times New Roman" w:hAnsi="Calibri" w:cs="Times New Roman"/>
          <w:bCs/>
          <w:sz w:val="24"/>
          <w:szCs w:val="24"/>
          <w:lang w:val="x-none" w:eastAsia="ar-SA"/>
        </w:rPr>
        <w:t>th</w:t>
      </w:r>
      <w:proofErr w:type="spellEnd"/>
      <w:r w:rsidRPr="006D3817">
        <w:rPr>
          <w:rFonts w:ascii="Calibri" w:eastAsia="Times New Roman" w:hAnsi="Calibri" w:cs="Times New Roman"/>
          <w:bCs/>
          <w:sz w:val="24"/>
          <w:szCs w:val="24"/>
          <w:lang w:val="x-none" w:eastAsia="ar-SA"/>
        </w:rPr>
        <w:t xml:space="preserve"> day of</w:t>
      </w:r>
      <w:r w:rsidRPr="006D3817">
        <w:rPr>
          <w:rFonts w:ascii="Calibri" w:eastAsia="Times New Roman" w:hAnsi="Calibri" w:cs="Times New Roman"/>
          <w:bCs/>
          <w:color w:val="FF0000"/>
          <w:sz w:val="24"/>
          <w:szCs w:val="24"/>
          <w:lang w:val="x-none" w:eastAsia="ar-SA"/>
        </w:rPr>
        <w:t xml:space="preserve"> </w:t>
      </w:r>
      <w:r w:rsidRPr="006D3817">
        <w:rPr>
          <w:rFonts w:ascii="Calibri" w:eastAsia="Times New Roman" w:hAnsi="Calibri" w:cs="Times New Roman"/>
          <w:bCs/>
          <w:sz w:val="24"/>
          <w:szCs w:val="24"/>
          <w:lang w:val="x-none" w:eastAsia="ar-SA"/>
        </w:rPr>
        <w:t>June, 201</w:t>
      </w:r>
      <w:r w:rsidRPr="006D3817">
        <w:rPr>
          <w:rFonts w:ascii="Calibri" w:eastAsia="Times New Roman" w:hAnsi="Calibri" w:cs="Times New Roman"/>
          <w:bCs/>
          <w:sz w:val="24"/>
          <w:szCs w:val="24"/>
          <w:lang w:eastAsia="ar-SA"/>
        </w:rPr>
        <w:t>6</w:t>
      </w:r>
      <w:r w:rsidRPr="006D3817">
        <w:rPr>
          <w:rFonts w:ascii="Calibri" w:eastAsia="Times New Roman" w:hAnsi="Calibri" w:cs="Times New Roman"/>
          <w:bCs/>
          <w:sz w:val="24"/>
          <w:szCs w:val="24"/>
          <w:lang w:val="x-none" w:eastAsia="ar-SA"/>
        </w:rPr>
        <w:t xml:space="preserve"> until 10:00 am current local time for the: </w:t>
      </w:r>
    </w:p>
    <w:p w:rsidR="006D3817" w:rsidRPr="006D3817" w:rsidRDefault="006D3817" w:rsidP="006D3817">
      <w:pPr>
        <w:widowControl w:val="0"/>
        <w:suppressAutoHyphens/>
        <w:spacing w:after="0" w:line="240" w:lineRule="auto"/>
        <w:jc w:val="center"/>
        <w:rPr>
          <w:rFonts w:ascii="Calibri" w:eastAsia="Times New Roman" w:hAnsi="Calibri" w:cs="Arial"/>
          <w:b/>
          <w:sz w:val="24"/>
          <w:szCs w:val="24"/>
          <w:lang w:eastAsia="ar-SA"/>
        </w:rPr>
      </w:pPr>
      <w:r w:rsidRPr="006D3817">
        <w:rPr>
          <w:rFonts w:ascii="Calibri" w:eastAsia="Times New Roman" w:hAnsi="Calibri" w:cs="Arial"/>
          <w:b/>
          <w:sz w:val="24"/>
          <w:szCs w:val="24"/>
          <w:lang w:eastAsia="ar-SA"/>
        </w:rPr>
        <w:t>“</w:t>
      </w:r>
      <w:r w:rsidRPr="006D3817">
        <w:rPr>
          <w:rFonts w:ascii="Calibri" w:eastAsia="Times New Roman" w:hAnsi="Calibri" w:cs="Arial"/>
          <w:b/>
          <w:sz w:val="24"/>
          <w:szCs w:val="24"/>
          <w:lang w:eastAsia="ar-SA"/>
        </w:rPr>
        <w:fldChar w:fldCharType="begin"/>
      </w:r>
      <w:r w:rsidRPr="006D3817">
        <w:rPr>
          <w:rFonts w:ascii="Calibri" w:eastAsia="Times New Roman" w:hAnsi="Calibri" w:cs="Arial"/>
          <w:b/>
          <w:sz w:val="24"/>
          <w:szCs w:val="24"/>
          <w:lang w:eastAsia="ar-SA"/>
        </w:rPr>
        <w:instrText xml:space="preserve"> COMMENTS   \* MERGEFORMAT </w:instrText>
      </w:r>
      <w:r w:rsidRPr="006D3817">
        <w:rPr>
          <w:rFonts w:ascii="Calibri" w:eastAsia="Times New Roman" w:hAnsi="Calibri" w:cs="Arial"/>
          <w:b/>
          <w:sz w:val="24"/>
          <w:szCs w:val="24"/>
          <w:lang w:eastAsia="ar-SA"/>
        </w:rPr>
        <w:fldChar w:fldCharType="separate"/>
      </w:r>
      <w:r w:rsidRPr="006D3817">
        <w:rPr>
          <w:rFonts w:ascii="Calibri" w:eastAsia="Times New Roman" w:hAnsi="Calibri" w:cs="Arial"/>
          <w:b/>
          <w:sz w:val="24"/>
          <w:szCs w:val="24"/>
          <w:lang w:eastAsia="ar-SA"/>
        </w:rPr>
        <w:t>Gilead Street Sidewalk CDBG</w:t>
      </w:r>
      <w:r w:rsidRPr="006D3817">
        <w:rPr>
          <w:rFonts w:ascii="Calibri" w:eastAsia="Times New Roman" w:hAnsi="Calibri" w:cs="Arial"/>
          <w:b/>
          <w:sz w:val="24"/>
          <w:szCs w:val="24"/>
          <w:lang w:eastAsia="ar-SA"/>
        </w:rPr>
        <w:fldChar w:fldCharType="end"/>
      </w:r>
      <w:r w:rsidRPr="006D3817">
        <w:rPr>
          <w:rFonts w:ascii="Calibri" w:eastAsia="Times New Roman" w:hAnsi="Calibri" w:cs="Arial"/>
          <w:b/>
          <w:sz w:val="24"/>
          <w:szCs w:val="24"/>
          <w:lang w:eastAsia="ar-SA"/>
        </w:rPr>
        <w:t>”</w:t>
      </w:r>
    </w:p>
    <w:p w:rsidR="006D3817" w:rsidRPr="006D3817" w:rsidRDefault="006D3817" w:rsidP="006D3817">
      <w:pPr>
        <w:widowControl w:val="0"/>
        <w:suppressAutoHyphens/>
        <w:spacing w:after="0" w:line="240" w:lineRule="auto"/>
        <w:jc w:val="center"/>
        <w:rPr>
          <w:rFonts w:ascii="Calibri" w:eastAsia="Times New Roman" w:hAnsi="Calibri" w:cs="Arial"/>
          <w:color w:val="00B050"/>
          <w:sz w:val="24"/>
          <w:szCs w:val="20"/>
          <w:lang w:eastAsia="ar-SA"/>
        </w:rPr>
      </w:pP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and will be publicly opened and read immediately thereafter.  Each bid must contain the full names of the party or parties making the same, with an affidavit as to interested parties, and in the case of a corporation not chartered in Ohio, with a proper certificate that such corporation is authorized to do business in Ohio, and shall be accompanied by a Bid Guaranty Bond for the full amount (100%) of the Bid, in favor of the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 or a certified check, cashier’s check, or letter of credit pursuant to Chapter 1305 of the Ohio Revised Code, in the amount of 10% of the Bid, payable to the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w:t>
      </w: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ab/>
      </w: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It is agreed that the bid guaranty shall be for the benefit of the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 pursuant to Section 153.54 of the Ohio Revised Code if the undersigned fails to execute the Contract in conformity with the Form of Contract incorporated in the contract documents and furnish Bond and insurance certificates within ten (10) days after the notification of the award of the Contract to the undersigned.</w:t>
      </w: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ab/>
      </w: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Gilead Street Sidewalk CDBG is to be known as the “Project”, Federal Prevailing wages apply to this project for all bidding purpose and construction purposes, and is funded by the Village of Cardington, and CDBG (Community Development Block Grant) fund. Copies of the Contract Documents are on file and may be obtained at the office of the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 xml:space="preserve">” upon payment of Thirty Dollars ($30.00), none of which will be refunded.  Checks shall be made payable to the </w:t>
      </w:r>
      <w:r w:rsidRPr="006D3817">
        <w:rPr>
          <w:rFonts w:ascii="Calibri" w:eastAsia="Times New Roman" w:hAnsi="Calibri" w:cs="Arial"/>
          <w:sz w:val="24"/>
          <w:szCs w:val="20"/>
          <w:lang w:eastAsia="ar-SA"/>
        </w:rPr>
        <w:fldChar w:fldCharType="begin"/>
      </w:r>
      <w:r w:rsidRPr="006D3817">
        <w:rPr>
          <w:rFonts w:ascii="Calibri" w:eastAsia="Times New Roman" w:hAnsi="Calibri" w:cs="Arial"/>
          <w:sz w:val="24"/>
          <w:szCs w:val="20"/>
          <w:lang w:eastAsia="ar-SA"/>
        </w:rPr>
        <w:instrText xml:space="preserve"> TITLE   \* MERGEFORMAT </w:instrText>
      </w:r>
      <w:r w:rsidRPr="006D3817">
        <w:rPr>
          <w:rFonts w:ascii="Calibri" w:eastAsia="Times New Roman" w:hAnsi="Calibri" w:cs="Arial"/>
          <w:sz w:val="24"/>
          <w:szCs w:val="20"/>
          <w:lang w:eastAsia="ar-SA"/>
        </w:rPr>
        <w:fldChar w:fldCharType="separate"/>
      </w:r>
      <w:r w:rsidRPr="006D3817">
        <w:rPr>
          <w:rFonts w:ascii="Calibri" w:eastAsia="Times New Roman" w:hAnsi="Calibri" w:cs="Arial"/>
          <w:sz w:val="24"/>
          <w:szCs w:val="20"/>
          <w:lang w:eastAsia="ar-SA"/>
        </w:rPr>
        <w:t xml:space="preserve">Village of </w:t>
      </w:r>
      <w:proofErr w:type="spellStart"/>
      <w:r w:rsidRPr="006D3817">
        <w:rPr>
          <w:rFonts w:ascii="Calibri" w:eastAsia="Times New Roman" w:hAnsi="Calibri" w:cs="Arial"/>
          <w:sz w:val="24"/>
          <w:szCs w:val="20"/>
          <w:lang w:eastAsia="ar-SA"/>
        </w:rPr>
        <w:t>Cardington</w:t>
      </w:r>
      <w:r w:rsidRPr="006D3817">
        <w:rPr>
          <w:rFonts w:ascii="Calibri" w:eastAsia="Times New Roman" w:hAnsi="Calibri" w:cs="Arial"/>
          <w:sz w:val="24"/>
          <w:szCs w:val="20"/>
          <w:lang w:eastAsia="ar-SA"/>
        </w:rPr>
        <w:fldChar w:fldCharType="end"/>
      </w:r>
      <w:r w:rsidRPr="006D3817">
        <w:rPr>
          <w:rFonts w:ascii="Calibri" w:eastAsia="Times New Roman" w:hAnsi="Calibri" w:cs="Arial"/>
          <w:sz w:val="24"/>
          <w:szCs w:val="20"/>
          <w:lang w:eastAsia="ar-SA"/>
        </w:rPr>
        <w:t>.The</w:t>
      </w:r>
      <w:proofErr w:type="spellEnd"/>
      <w:r w:rsidRPr="006D3817">
        <w:rPr>
          <w:rFonts w:ascii="Calibri" w:eastAsia="Times New Roman" w:hAnsi="Calibri" w:cs="Arial"/>
          <w:sz w:val="24"/>
          <w:szCs w:val="20"/>
          <w:lang w:eastAsia="ar-SA"/>
        </w:rPr>
        <w:t xml:space="preserv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 reserves the right to reject any and all bids, to waive any informalities in the bids received, and to accept any bid which it deems most favorable.</w:t>
      </w: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p>
    <w:p w:rsidR="006D3817" w:rsidRPr="006D3817" w:rsidRDefault="006D3817" w:rsidP="006D3817">
      <w:pPr>
        <w:widowControl w:val="0"/>
        <w:suppressAutoHyphens/>
        <w:spacing w:after="0" w:line="276"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The “</w:t>
      </w:r>
      <w:r w:rsidRPr="006D3817">
        <w:rPr>
          <w:rFonts w:ascii="Calibri" w:eastAsia="Times New Roman" w:hAnsi="Calibri" w:cs="Arial"/>
          <w:i/>
          <w:sz w:val="24"/>
          <w:szCs w:val="20"/>
          <w:lang w:eastAsia="ar-SA"/>
        </w:rPr>
        <w:t>Owner</w:t>
      </w:r>
      <w:r w:rsidRPr="006D3817">
        <w:rPr>
          <w:rFonts w:ascii="Calibri" w:eastAsia="Times New Roman" w:hAnsi="Calibri" w:cs="Arial"/>
          <w:sz w:val="24"/>
          <w:szCs w:val="20"/>
          <w:lang w:eastAsia="ar-SA"/>
        </w:rPr>
        <w:t>” is an Equal Opportunity Employer and does not discriminate against the handicapped.</w:t>
      </w:r>
    </w:p>
    <w:p w:rsidR="006D3817" w:rsidRPr="006D3817" w:rsidRDefault="006D3817" w:rsidP="006D3817">
      <w:pPr>
        <w:widowControl w:val="0"/>
        <w:suppressAutoHyphens/>
        <w:spacing w:after="0" w:line="240" w:lineRule="auto"/>
        <w:jc w:val="both"/>
        <w:rPr>
          <w:rFonts w:ascii="Calibri" w:eastAsia="Times New Roman" w:hAnsi="Calibri" w:cs="Arial"/>
          <w:sz w:val="24"/>
          <w:szCs w:val="20"/>
          <w:lang w:eastAsia="ar-SA"/>
        </w:rPr>
      </w:pPr>
    </w:p>
    <w:p w:rsidR="006D3817" w:rsidRPr="006D3817" w:rsidRDefault="006D3817" w:rsidP="006D3817">
      <w:pPr>
        <w:widowControl w:val="0"/>
        <w:suppressAutoHyphens/>
        <w:spacing w:after="0" w:line="240" w:lineRule="auto"/>
        <w:jc w:val="both"/>
        <w:rPr>
          <w:rFonts w:ascii="Calibri" w:eastAsia="Times New Roman" w:hAnsi="Calibri" w:cs="Arial"/>
          <w:sz w:val="24"/>
          <w:szCs w:val="20"/>
          <w:lang w:eastAsia="ar-SA"/>
        </w:rPr>
      </w:pPr>
      <w:r w:rsidRPr="006D3817">
        <w:rPr>
          <w:rFonts w:ascii="Calibri" w:eastAsia="Times New Roman" w:hAnsi="Calibri" w:cs="Arial"/>
          <w:sz w:val="24"/>
          <w:szCs w:val="20"/>
          <w:lang w:eastAsia="ar-SA"/>
        </w:rPr>
        <w:t>Notice to Bidders is posted on the Morrow County Board of Commissioners’ website and can be accessed under Public Notices:</w:t>
      </w:r>
      <w:r w:rsidRPr="006D3817">
        <w:rPr>
          <w:rFonts w:ascii="Calibri" w:eastAsia="Times New Roman" w:hAnsi="Calibri" w:cs="Arial"/>
          <w:color w:val="1F497D"/>
          <w:sz w:val="24"/>
          <w:szCs w:val="20"/>
          <w:lang w:eastAsia="ar-SA"/>
        </w:rPr>
        <w:t xml:space="preserve">  </w:t>
      </w:r>
      <w:hyperlink r:id="rId6" w:history="1">
        <w:r w:rsidRPr="006D3817">
          <w:rPr>
            <w:rFonts w:ascii="Calibri" w:eastAsia="Times New Roman" w:hAnsi="Calibri" w:cs="Arial"/>
            <w:color w:val="0000FF"/>
            <w:sz w:val="24"/>
            <w:szCs w:val="20"/>
            <w:u w:val="single"/>
            <w:lang w:eastAsia="ar-SA"/>
          </w:rPr>
          <w:t>www.morrowcountyohio.gov</w:t>
        </w:r>
      </w:hyperlink>
      <w:r w:rsidRPr="006D3817">
        <w:rPr>
          <w:rFonts w:ascii="Calibri" w:eastAsia="Times New Roman" w:hAnsi="Calibri" w:cs="Arial"/>
          <w:sz w:val="24"/>
          <w:szCs w:val="20"/>
          <w:lang w:eastAsia="ar-SA"/>
        </w:rPr>
        <w:t xml:space="preserve"> and the Village of Cardington website at </w:t>
      </w:r>
      <w:hyperlink r:id="rId7" w:history="1">
        <w:r w:rsidRPr="006D3817">
          <w:rPr>
            <w:rFonts w:ascii="Calibri" w:eastAsia="Times New Roman" w:hAnsi="Calibri" w:cs="Arial"/>
            <w:color w:val="0000FF"/>
            <w:sz w:val="24"/>
            <w:szCs w:val="20"/>
            <w:u w:val="single"/>
            <w:lang w:eastAsia="ar-SA"/>
          </w:rPr>
          <w:t>www.cardington.org</w:t>
        </w:r>
      </w:hyperlink>
      <w:r w:rsidRPr="006D3817">
        <w:rPr>
          <w:rFonts w:ascii="Calibri" w:eastAsia="Times New Roman" w:hAnsi="Calibri" w:cs="Arial"/>
          <w:sz w:val="24"/>
          <w:szCs w:val="20"/>
          <w:lang w:eastAsia="ar-SA"/>
        </w:rPr>
        <w:t>.</w:t>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p>
    <w:p w:rsidR="006D3817" w:rsidRPr="006D3817" w:rsidRDefault="006D3817" w:rsidP="006D3817">
      <w:pPr>
        <w:widowControl w:val="0"/>
        <w:suppressAutoHyphens/>
        <w:spacing w:after="0" w:line="276"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t>Debra K. Fry, Fiscal Officer</w:t>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tab/>
      </w:r>
      <w:r w:rsidRPr="006D3817">
        <w:rPr>
          <w:rFonts w:ascii="Calibri" w:eastAsia="Times New Roman" w:hAnsi="Calibri" w:cs="Arial"/>
          <w:sz w:val="24"/>
          <w:szCs w:val="20"/>
          <w:lang w:eastAsia="ar-SA"/>
        </w:rPr>
        <w:fldChar w:fldCharType="begin"/>
      </w:r>
      <w:r w:rsidRPr="006D3817">
        <w:rPr>
          <w:rFonts w:ascii="Calibri" w:eastAsia="Times New Roman" w:hAnsi="Calibri" w:cs="Arial"/>
          <w:sz w:val="24"/>
          <w:szCs w:val="20"/>
          <w:lang w:eastAsia="ar-SA"/>
        </w:rPr>
        <w:instrText xml:space="preserve"> TITLE   \* MERGEFORMAT </w:instrText>
      </w:r>
      <w:r w:rsidRPr="006D3817">
        <w:rPr>
          <w:rFonts w:ascii="Calibri" w:eastAsia="Times New Roman" w:hAnsi="Calibri" w:cs="Arial"/>
          <w:sz w:val="24"/>
          <w:szCs w:val="20"/>
          <w:lang w:eastAsia="ar-SA"/>
        </w:rPr>
        <w:fldChar w:fldCharType="separate"/>
      </w:r>
      <w:r w:rsidRPr="006D3817">
        <w:rPr>
          <w:rFonts w:ascii="Calibri" w:eastAsia="Times New Roman" w:hAnsi="Calibri" w:cs="Arial"/>
          <w:sz w:val="24"/>
          <w:szCs w:val="20"/>
          <w:lang w:eastAsia="ar-SA"/>
        </w:rPr>
        <w:t>Village of Cardington</w:t>
      </w:r>
      <w:r w:rsidRPr="006D3817">
        <w:rPr>
          <w:rFonts w:ascii="Calibri" w:eastAsia="Times New Roman" w:hAnsi="Calibri" w:cs="Arial"/>
          <w:sz w:val="24"/>
          <w:szCs w:val="20"/>
          <w:lang w:eastAsia="ar-SA"/>
        </w:rPr>
        <w:fldChar w:fldCharType="end"/>
      </w:r>
    </w:p>
    <w:p w:rsidR="006D3817" w:rsidRPr="006D3817" w:rsidRDefault="006D3817" w:rsidP="006D3817">
      <w:pPr>
        <w:widowControl w:val="0"/>
        <w:suppressAutoHyphens/>
        <w:spacing w:after="0" w:line="276"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Publish Dates: Morrow County Sentinel</w:t>
      </w:r>
    </w:p>
    <w:p w:rsidR="006D3817" w:rsidRPr="006D3817" w:rsidRDefault="006D3817" w:rsidP="006D3817">
      <w:pPr>
        <w:widowControl w:val="0"/>
        <w:suppressAutoHyphens/>
        <w:spacing w:after="0" w:line="276" w:lineRule="auto"/>
        <w:ind w:firstLine="720"/>
        <w:rPr>
          <w:rFonts w:ascii="Calibri" w:eastAsia="Times New Roman" w:hAnsi="Calibri" w:cs="Arial"/>
          <w:b/>
          <w:sz w:val="24"/>
          <w:szCs w:val="20"/>
          <w:lang w:eastAsia="ar-SA"/>
        </w:rPr>
      </w:pPr>
      <w:r w:rsidRPr="006D3817">
        <w:rPr>
          <w:rFonts w:ascii="Calibri" w:eastAsia="Times New Roman" w:hAnsi="Calibri" w:cs="Arial"/>
          <w:b/>
          <w:sz w:val="24"/>
          <w:szCs w:val="20"/>
          <w:lang w:eastAsia="ar-SA"/>
        </w:rPr>
        <w:t>Week of May 25, 2016</w:t>
      </w:r>
    </w:p>
    <w:p w:rsidR="006D3817" w:rsidRPr="006D3817" w:rsidRDefault="006D3817" w:rsidP="006D3817">
      <w:pPr>
        <w:widowControl w:val="0"/>
        <w:suppressAutoHyphens/>
        <w:spacing w:after="0" w:line="276" w:lineRule="auto"/>
        <w:ind w:firstLine="720"/>
        <w:rPr>
          <w:rFonts w:ascii="Calibri" w:eastAsia="Times New Roman" w:hAnsi="Calibri" w:cs="Arial"/>
          <w:b/>
          <w:sz w:val="24"/>
          <w:szCs w:val="20"/>
          <w:lang w:eastAsia="ar-SA"/>
        </w:rPr>
      </w:pPr>
      <w:r w:rsidRPr="006D3817">
        <w:rPr>
          <w:rFonts w:ascii="Calibri" w:eastAsia="Times New Roman" w:hAnsi="Calibri" w:cs="Arial"/>
          <w:b/>
          <w:sz w:val="24"/>
          <w:szCs w:val="20"/>
          <w:lang w:eastAsia="ar-SA"/>
        </w:rPr>
        <w:t>Week of June 1, 2016</w:t>
      </w:r>
    </w:p>
    <w:p w:rsidR="006D3817" w:rsidRPr="006D3817" w:rsidRDefault="006D3817" w:rsidP="006D3817">
      <w:pPr>
        <w:widowControl w:val="0"/>
        <w:suppressAutoHyphens/>
        <w:spacing w:after="0" w:line="276" w:lineRule="auto"/>
        <w:ind w:firstLine="720"/>
        <w:rPr>
          <w:rFonts w:ascii="Calibri" w:eastAsia="Times New Roman" w:hAnsi="Calibri" w:cs="Arial"/>
          <w:sz w:val="24"/>
          <w:szCs w:val="20"/>
          <w:lang w:eastAsia="ar-SA"/>
        </w:rPr>
      </w:pPr>
    </w:p>
    <w:p w:rsidR="006D3817" w:rsidRPr="006D3817" w:rsidRDefault="006D3817" w:rsidP="006D3817">
      <w:pPr>
        <w:spacing w:after="0" w:line="276" w:lineRule="auto"/>
        <w:outlineLvl w:val="1"/>
        <w:rPr>
          <w:rFonts w:ascii="Calibri" w:eastAsia="Times New Roman" w:hAnsi="Calibri" w:cs="Calibri"/>
          <w:b/>
          <w:bCs/>
          <w:i/>
          <w:sz w:val="28"/>
          <w:szCs w:val="28"/>
          <w:u w:val="double"/>
          <w:lang w:val="x-none" w:eastAsia="x-none" w:bidi="en-US"/>
        </w:rPr>
      </w:pPr>
      <w:bookmarkStart w:id="2" w:name="_Toc450907514"/>
      <w:r w:rsidRPr="006D3817">
        <w:rPr>
          <w:rFonts w:ascii="Calibri" w:eastAsia="Times New Roman" w:hAnsi="Calibri" w:cs="Calibri"/>
          <w:b/>
          <w:bCs/>
          <w:i/>
          <w:sz w:val="28"/>
          <w:szCs w:val="28"/>
          <w:u w:val="double"/>
          <w:lang w:val="x-none" w:eastAsia="x-none" w:bidi="en-US"/>
        </w:rPr>
        <w:t>Scope of Work, Project Schedule, &amp; Engineer’s Estimate</w:t>
      </w:r>
      <w:bookmarkEnd w:id="2"/>
    </w:p>
    <w:p w:rsidR="006D3817" w:rsidRPr="006D3817" w:rsidRDefault="006D3817" w:rsidP="006D3817">
      <w:pPr>
        <w:widowControl w:val="0"/>
        <w:suppressAutoHyphens/>
        <w:spacing w:after="0" w:line="240" w:lineRule="auto"/>
        <w:rPr>
          <w:rFonts w:ascii="Calibri" w:eastAsia="Times New Roman" w:hAnsi="Calibri" w:cs="Arial"/>
          <w:b/>
          <w:sz w:val="24"/>
          <w:szCs w:val="24"/>
          <w:u w:val="single"/>
          <w:lang w:eastAsia="ar-SA"/>
        </w:rPr>
      </w:pPr>
    </w:p>
    <w:p w:rsidR="006D3817" w:rsidRPr="006D3817" w:rsidRDefault="006D3817" w:rsidP="006D3817">
      <w:pPr>
        <w:widowControl w:val="0"/>
        <w:suppressAutoHyphens/>
        <w:spacing w:after="0" w:line="240" w:lineRule="auto"/>
        <w:rPr>
          <w:rFonts w:ascii="Calibri" w:eastAsia="Times New Roman" w:hAnsi="Calibri" w:cs="Arial"/>
          <w:b/>
          <w:smallCaps/>
          <w:sz w:val="24"/>
          <w:szCs w:val="24"/>
          <w:u w:val="single"/>
          <w:lang w:eastAsia="ar-SA"/>
        </w:rPr>
      </w:pPr>
      <w:r w:rsidRPr="006D3817">
        <w:rPr>
          <w:rFonts w:ascii="Calibri" w:eastAsia="Times New Roman" w:hAnsi="Calibri" w:cs="Arial"/>
          <w:b/>
          <w:smallCaps/>
          <w:sz w:val="24"/>
          <w:szCs w:val="24"/>
          <w:u w:val="single"/>
          <w:lang w:eastAsia="ar-SA"/>
        </w:rPr>
        <w:t>Scope of Work:</w:t>
      </w:r>
    </w:p>
    <w:p w:rsidR="006D3817" w:rsidRPr="006D3817" w:rsidRDefault="006D3817" w:rsidP="006D3817">
      <w:pPr>
        <w:widowControl w:val="0"/>
        <w:suppressAutoHyphens/>
        <w:spacing w:after="0" w:line="240"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 xml:space="preserve">The Scope of Work for the </w:t>
      </w:r>
      <w:r w:rsidRPr="006D3817">
        <w:rPr>
          <w:rFonts w:ascii="Calibri" w:eastAsia="Times New Roman" w:hAnsi="Calibri" w:cs="Arial"/>
          <w:sz w:val="24"/>
          <w:szCs w:val="20"/>
          <w:lang w:eastAsia="ar-SA"/>
        </w:rPr>
        <w:fldChar w:fldCharType="begin"/>
      </w:r>
      <w:r w:rsidRPr="006D3817">
        <w:rPr>
          <w:rFonts w:ascii="Calibri" w:eastAsia="Times New Roman" w:hAnsi="Calibri" w:cs="Arial"/>
          <w:sz w:val="24"/>
          <w:szCs w:val="20"/>
          <w:lang w:eastAsia="ar-SA"/>
        </w:rPr>
        <w:instrText xml:space="preserve"> COMMENTS   \* MERGEFORMAT </w:instrText>
      </w:r>
      <w:r w:rsidRPr="006D3817">
        <w:rPr>
          <w:rFonts w:ascii="Calibri" w:eastAsia="Times New Roman" w:hAnsi="Calibri" w:cs="Arial"/>
          <w:sz w:val="24"/>
          <w:szCs w:val="20"/>
          <w:lang w:eastAsia="ar-SA"/>
        </w:rPr>
        <w:fldChar w:fldCharType="separate"/>
      </w:r>
      <w:r w:rsidRPr="006D3817">
        <w:rPr>
          <w:rFonts w:ascii="Calibri" w:eastAsia="Times New Roman" w:hAnsi="Calibri" w:cs="Arial"/>
          <w:sz w:val="24"/>
          <w:szCs w:val="20"/>
          <w:lang w:eastAsia="ar-SA"/>
        </w:rPr>
        <w:t>Gilead Street Sidewalk CDBG</w:t>
      </w:r>
      <w:r w:rsidRPr="006D3817">
        <w:rPr>
          <w:rFonts w:ascii="Calibri" w:eastAsia="Times New Roman" w:hAnsi="Calibri" w:cs="Arial"/>
          <w:sz w:val="24"/>
          <w:szCs w:val="20"/>
          <w:lang w:eastAsia="ar-SA"/>
        </w:rPr>
        <w:fldChar w:fldCharType="end"/>
      </w:r>
      <w:r w:rsidRPr="006D3817">
        <w:rPr>
          <w:rFonts w:ascii="Calibri" w:eastAsia="Times New Roman" w:hAnsi="Calibri" w:cs="Arial"/>
          <w:sz w:val="24"/>
          <w:szCs w:val="20"/>
          <w:lang w:eastAsia="ar-SA"/>
        </w:rPr>
        <w:t xml:space="preserve"> Project consists of the following:</w:t>
      </w:r>
    </w:p>
    <w:p w:rsidR="006D3817" w:rsidRPr="006D3817" w:rsidRDefault="006D3817" w:rsidP="006D3817">
      <w:pPr>
        <w:widowControl w:val="0"/>
        <w:numPr>
          <w:ilvl w:val="0"/>
          <w:numId w:val="1"/>
        </w:numPr>
        <w:tabs>
          <w:tab w:val="num" w:pos="720"/>
        </w:tabs>
        <w:suppressAutoHyphens/>
        <w:spacing w:after="200" w:line="276" w:lineRule="auto"/>
        <w:ind w:left="720"/>
        <w:rPr>
          <w:rFonts w:ascii="Calibri" w:eastAsia="Times New Roman" w:hAnsi="Calibri" w:cs="Arial"/>
          <w:sz w:val="24"/>
          <w:szCs w:val="20"/>
          <w:lang w:eastAsia="ar-SA"/>
        </w:rPr>
      </w:pPr>
      <w:r w:rsidRPr="006D3817">
        <w:rPr>
          <w:rFonts w:ascii="Calibri" w:eastAsia="Times New Roman" w:hAnsi="Calibri" w:cs="Arial"/>
          <w:sz w:val="24"/>
          <w:szCs w:val="20"/>
          <w:lang w:eastAsia="ar-SA"/>
        </w:rPr>
        <w:t>Installation of new sidewalk along the east side of Gilead Street (U.S.42) in the Village of Cardington from East Main Street north to the Village corporation limit. (Total Project Length of 2,560 LF).</w:t>
      </w:r>
    </w:p>
    <w:p w:rsidR="006D3817" w:rsidRPr="006D3817" w:rsidRDefault="006D3817" w:rsidP="006D3817">
      <w:pPr>
        <w:widowControl w:val="0"/>
        <w:numPr>
          <w:ilvl w:val="0"/>
          <w:numId w:val="1"/>
        </w:numPr>
        <w:tabs>
          <w:tab w:val="num" w:pos="720"/>
        </w:tabs>
        <w:suppressAutoHyphens/>
        <w:spacing w:after="0" w:line="276" w:lineRule="auto"/>
        <w:ind w:left="720"/>
        <w:rPr>
          <w:rFonts w:ascii="Calibri" w:eastAsia="Times New Roman" w:hAnsi="Calibri" w:cs="Arial"/>
          <w:sz w:val="24"/>
          <w:szCs w:val="20"/>
          <w:lang w:eastAsia="ar-SA"/>
        </w:rPr>
      </w:pPr>
      <w:r w:rsidRPr="006D3817">
        <w:rPr>
          <w:rFonts w:ascii="Calibri" w:eastAsia="Times New Roman" w:hAnsi="Calibri" w:cs="Arial"/>
          <w:sz w:val="24"/>
          <w:szCs w:val="20"/>
          <w:lang w:eastAsia="ar-SA"/>
        </w:rPr>
        <w:t>Base Bid work includes:</w:t>
      </w:r>
    </w:p>
    <w:p w:rsidR="006D3817" w:rsidRPr="006D3817" w:rsidRDefault="006D3817" w:rsidP="006D3817">
      <w:pPr>
        <w:widowControl w:val="0"/>
        <w:numPr>
          <w:ilvl w:val="1"/>
          <w:numId w:val="1"/>
        </w:numPr>
        <w:suppressAutoHyphens/>
        <w:spacing w:after="0" w:line="276"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Concrete sidewalk, 4” and 6” thick, curb ramps</w:t>
      </w:r>
    </w:p>
    <w:p w:rsidR="006D3817" w:rsidRPr="006D3817" w:rsidRDefault="006D3817" w:rsidP="006D3817">
      <w:pPr>
        <w:widowControl w:val="0"/>
        <w:numPr>
          <w:ilvl w:val="1"/>
          <w:numId w:val="1"/>
        </w:numPr>
        <w:suppressAutoHyphens/>
        <w:spacing w:after="0" w:line="276"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Asphalt and aggregate, drive apron replacement / repair</w:t>
      </w:r>
    </w:p>
    <w:p w:rsidR="006D3817" w:rsidRPr="006D3817" w:rsidRDefault="006D3817" w:rsidP="006D3817">
      <w:pPr>
        <w:widowControl w:val="0"/>
        <w:numPr>
          <w:ilvl w:val="1"/>
          <w:numId w:val="1"/>
        </w:numPr>
        <w:suppressAutoHyphens/>
        <w:spacing w:after="200" w:line="276" w:lineRule="auto"/>
        <w:rPr>
          <w:rFonts w:ascii="Calibri" w:eastAsia="Times New Roman" w:hAnsi="Calibri" w:cs="Arial"/>
          <w:sz w:val="24"/>
          <w:szCs w:val="20"/>
          <w:lang w:eastAsia="ar-SA"/>
        </w:rPr>
      </w:pPr>
      <w:r w:rsidRPr="006D3817">
        <w:rPr>
          <w:rFonts w:ascii="Calibri" w:eastAsia="Times New Roman" w:hAnsi="Calibri" w:cs="Arial"/>
          <w:sz w:val="24"/>
          <w:szCs w:val="20"/>
          <w:lang w:eastAsia="ar-SA"/>
        </w:rPr>
        <w:t>Site restoration</w:t>
      </w:r>
    </w:p>
    <w:p w:rsidR="006D3817" w:rsidRPr="006D3817" w:rsidRDefault="006D3817" w:rsidP="006D3817">
      <w:pPr>
        <w:widowControl w:val="0"/>
        <w:numPr>
          <w:ilvl w:val="0"/>
          <w:numId w:val="1"/>
        </w:numPr>
        <w:tabs>
          <w:tab w:val="num" w:pos="720"/>
        </w:tabs>
        <w:suppressAutoHyphens/>
        <w:spacing w:after="200" w:line="276" w:lineRule="auto"/>
        <w:ind w:left="720"/>
        <w:rPr>
          <w:rFonts w:ascii="Calibri" w:eastAsia="Times New Roman" w:hAnsi="Calibri" w:cs="Arial"/>
          <w:sz w:val="24"/>
          <w:szCs w:val="20"/>
          <w:lang w:eastAsia="ar-SA"/>
        </w:rPr>
      </w:pPr>
      <w:r w:rsidRPr="006D3817">
        <w:rPr>
          <w:rFonts w:ascii="Calibri" w:eastAsia="Times New Roman" w:hAnsi="Calibri" w:cs="Arial"/>
          <w:sz w:val="24"/>
          <w:szCs w:val="20"/>
          <w:lang w:eastAsia="ar-SA"/>
        </w:rPr>
        <w:t>Follow the OMUTCD for maintenance of traffic, signage, safety, etc.</w:t>
      </w:r>
    </w:p>
    <w:p w:rsidR="006D3817" w:rsidRPr="006D3817" w:rsidRDefault="006D3817" w:rsidP="006D3817">
      <w:pPr>
        <w:widowControl w:val="0"/>
        <w:suppressAutoHyphens/>
        <w:spacing w:after="0" w:line="240" w:lineRule="auto"/>
        <w:rPr>
          <w:rFonts w:ascii="Calibri" w:eastAsia="Times New Roman" w:hAnsi="Calibri" w:cs="Arial"/>
          <w:b/>
          <w:smallCaps/>
          <w:sz w:val="24"/>
          <w:szCs w:val="24"/>
          <w:u w:val="single"/>
          <w:lang w:eastAsia="ar-SA"/>
        </w:rPr>
      </w:pPr>
    </w:p>
    <w:p w:rsidR="006D3817" w:rsidRPr="006D3817" w:rsidRDefault="006D3817" w:rsidP="006D3817">
      <w:pPr>
        <w:widowControl w:val="0"/>
        <w:suppressAutoHyphens/>
        <w:spacing w:after="0" w:line="240" w:lineRule="auto"/>
        <w:rPr>
          <w:rFonts w:ascii="Calibri" w:eastAsia="Times New Roman" w:hAnsi="Calibri" w:cs="Arial"/>
          <w:b/>
          <w:smallCaps/>
          <w:sz w:val="24"/>
          <w:szCs w:val="24"/>
          <w:u w:val="single"/>
          <w:lang w:eastAsia="ar-SA"/>
        </w:rPr>
      </w:pPr>
      <w:r w:rsidRPr="006D3817">
        <w:rPr>
          <w:rFonts w:ascii="Calibri" w:eastAsia="Times New Roman" w:hAnsi="Calibri" w:cs="Arial"/>
          <w:b/>
          <w:smallCaps/>
          <w:sz w:val="24"/>
          <w:szCs w:val="24"/>
          <w:u w:val="single"/>
          <w:lang w:eastAsia="ar-SA"/>
        </w:rPr>
        <w:t>Project Schedule:</w:t>
      </w:r>
    </w:p>
    <w:p w:rsidR="006D3817" w:rsidRPr="006D3817" w:rsidRDefault="006D3817" w:rsidP="006D3817">
      <w:pPr>
        <w:widowControl w:val="0"/>
        <w:suppressAutoHyphens/>
        <w:spacing w:after="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Contractor shall be aware of the following schedule, subject to the conditions listed below:</w:t>
      </w:r>
    </w:p>
    <w:p w:rsidR="006D3817" w:rsidRPr="006D3817" w:rsidRDefault="006D3817" w:rsidP="006D3817">
      <w:pPr>
        <w:widowControl w:val="0"/>
        <w:numPr>
          <w:ilvl w:val="0"/>
          <w:numId w:val="2"/>
        </w:numPr>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June 8, 2016</w:t>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t>Bid Opening Date</w:t>
      </w:r>
    </w:p>
    <w:p w:rsidR="006D3817" w:rsidRPr="006D3817" w:rsidRDefault="006D3817" w:rsidP="006D3817">
      <w:pPr>
        <w:widowControl w:val="0"/>
        <w:numPr>
          <w:ilvl w:val="0"/>
          <w:numId w:val="2"/>
        </w:numPr>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June 20, 2016</w:t>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t>Engineer Recommendation for Award</w:t>
      </w:r>
    </w:p>
    <w:p w:rsidR="006D3817" w:rsidRPr="006D3817" w:rsidRDefault="006D3817" w:rsidP="006D3817">
      <w:pPr>
        <w:widowControl w:val="0"/>
        <w:numPr>
          <w:ilvl w:val="0"/>
          <w:numId w:val="2"/>
        </w:numPr>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June 24, 2016</w:t>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t>Notice of Award to Contractor</w:t>
      </w:r>
    </w:p>
    <w:p w:rsidR="006D3817" w:rsidRPr="006D3817" w:rsidRDefault="006D3817" w:rsidP="006D3817">
      <w:pPr>
        <w:widowControl w:val="0"/>
        <w:numPr>
          <w:ilvl w:val="0"/>
          <w:numId w:val="2"/>
        </w:numPr>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July 5, 2016</w:t>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t>Project Start Date</w:t>
      </w:r>
    </w:p>
    <w:p w:rsidR="006D3817" w:rsidRPr="006D3817" w:rsidRDefault="006D3817" w:rsidP="006D3817">
      <w:pPr>
        <w:widowControl w:val="0"/>
        <w:numPr>
          <w:ilvl w:val="0"/>
          <w:numId w:val="2"/>
        </w:numPr>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September 30,2016</w:t>
      </w:r>
      <w:r w:rsidRPr="006D3817">
        <w:rPr>
          <w:rFonts w:ascii="Calibri" w:eastAsia="Times New Roman" w:hAnsi="Calibri" w:cs="Arial"/>
          <w:sz w:val="24"/>
          <w:szCs w:val="24"/>
          <w:lang w:eastAsia="ar-SA"/>
        </w:rPr>
        <w:tab/>
      </w:r>
      <w:r w:rsidRPr="006D3817">
        <w:rPr>
          <w:rFonts w:ascii="Calibri" w:eastAsia="Times New Roman" w:hAnsi="Calibri" w:cs="Arial"/>
          <w:sz w:val="24"/>
          <w:szCs w:val="24"/>
          <w:lang w:eastAsia="ar-SA"/>
        </w:rPr>
        <w:tab/>
        <w:t>Project Completion Date</w:t>
      </w:r>
    </w:p>
    <w:p w:rsidR="006D3817" w:rsidRPr="006D3817" w:rsidRDefault="006D3817" w:rsidP="006D3817">
      <w:pPr>
        <w:widowControl w:val="0"/>
        <w:suppressAutoHyphens/>
        <w:spacing w:after="120" w:line="240" w:lineRule="auto"/>
        <w:rPr>
          <w:rFonts w:ascii="Calibri" w:eastAsia="Times New Roman" w:hAnsi="Calibri" w:cs="Arial"/>
          <w:sz w:val="24"/>
          <w:szCs w:val="24"/>
          <w:lang w:eastAsia="ar-SA"/>
        </w:rPr>
      </w:pPr>
      <w:r w:rsidRPr="006D3817">
        <w:rPr>
          <w:rFonts w:ascii="Calibri" w:eastAsia="Times New Roman" w:hAnsi="Calibri" w:cs="Arial"/>
          <w:sz w:val="24"/>
          <w:szCs w:val="24"/>
          <w:lang w:eastAsia="ar-SA"/>
        </w:rPr>
        <w:t>Note:  Liquidated Damages shall apply, per the specifications.</w:t>
      </w:r>
    </w:p>
    <w:p w:rsidR="00AE2E1B" w:rsidRDefault="002E69DA"/>
    <w:sectPr w:rsidR="00AE2E1B" w:rsidSect="006D381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9"/>
    <w:multiLevelType w:val="hybridMultilevel"/>
    <w:tmpl w:val="0B7844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221606"/>
    <w:multiLevelType w:val="hybridMultilevel"/>
    <w:tmpl w:val="E9EEF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17"/>
    <w:rsid w:val="000B4806"/>
    <w:rsid w:val="002E69DA"/>
    <w:rsid w:val="006D3817"/>
    <w:rsid w:val="009D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d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rowcountyohi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OHM Advisors</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Spainhour, Sheri</dc:creator>
  <cp:lastModifiedBy>Fiscal Officer</cp:lastModifiedBy>
  <cp:revision>2</cp:revision>
  <dcterms:created xsi:type="dcterms:W3CDTF">2016-05-19T16:07:00Z</dcterms:created>
  <dcterms:modified xsi:type="dcterms:W3CDTF">2016-05-19T16:07:00Z</dcterms:modified>
</cp:coreProperties>
</file>